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092" w:rsidRPr="001C5E50" w:rsidRDefault="00937EF0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о результатах финансово-хозяйственной деятельности подведомственных муниципальных учреждений </w:t>
      </w:r>
    </w:p>
    <w:p w:rsidR="00802092" w:rsidRPr="001C5E50" w:rsidRDefault="00802092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>Администрации Томского района</w:t>
      </w:r>
    </w:p>
    <w:p w:rsidR="00937EF0" w:rsidRPr="001C5E50" w:rsidRDefault="00CE32A6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>за 2015</w:t>
      </w:r>
      <w:r w:rsidR="00937EF0" w:rsidRPr="001C5E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45DE8" w:rsidRPr="001C5E50" w:rsidRDefault="00845DE8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DE8" w:rsidRPr="001C5E50" w:rsidRDefault="00845DE8" w:rsidP="001C5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В 2015 году в Томском районе функционировало 72 </w:t>
      </w:r>
      <w:proofErr w:type="gramStart"/>
      <w:r w:rsidRPr="001C5E50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845DE8" w:rsidRPr="001C5E50" w:rsidRDefault="00845DE8" w:rsidP="001C5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- в сфере образования - 66 учреждений;</w:t>
      </w:r>
    </w:p>
    <w:p w:rsidR="00845DE8" w:rsidRPr="001C5E50" w:rsidRDefault="00845DE8" w:rsidP="001C5E5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- в сфере культуры и спорта - 6 учреждений.</w:t>
      </w:r>
    </w:p>
    <w:p w:rsidR="00845DE8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Итоговый финансовый результат по 72 учреждениям в 2015 году составил </w:t>
      </w:r>
      <w:r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1 213 579,96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eastAsia="Calibri" w:hAnsi="Times New Roman" w:cs="Times New Roman"/>
          <w:sz w:val="24"/>
          <w:szCs w:val="24"/>
        </w:rPr>
        <w:t>тыс. руб.</w:t>
      </w:r>
      <w:r w:rsidR="00E44455">
        <w:rPr>
          <w:rFonts w:ascii="Times New Roman" w:eastAsia="Calibri" w:hAnsi="Times New Roman" w:cs="Times New Roman"/>
          <w:sz w:val="24"/>
          <w:szCs w:val="24"/>
        </w:rPr>
        <w:t>, где отражен</w:t>
      </w:r>
      <w:r w:rsidR="00390B50">
        <w:rPr>
          <w:rFonts w:ascii="Times New Roman" w:eastAsia="Calibri" w:hAnsi="Times New Roman" w:cs="Times New Roman"/>
          <w:sz w:val="24"/>
          <w:szCs w:val="24"/>
        </w:rPr>
        <w:t>ы</w:t>
      </w:r>
      <w:r w:rsidR="00E44455">
        <w:rPr>
          <w:rFonts w:ascii="Times New Roman" w:eastAsia="Calibri" w:hAnsi="Times New Roman" w:cs="Times New Roman"/>
          <w:sz w:val="24"/>
          <w:szCs w:val="24"/>
        </w:rPr>
        <w:t xml:space="preserve"> расход</w:t>
      </w:r>
      <w:r w:rsidR="00390B50">
        <w:rPr>
          <w:rFonts w:ascii="Times New Roman" w:eastAsia="Calibri" w:hAnsi="Times New Roman" w:cs="Times New Roman"/>
          <w:sz w:val="24"/>
          <w:szCs w:val="24"/>
        </w:rPr>
        <w:t>ы</w:t>
      </w:r>
      <w:r w:rsidR="00E44455" w:rsidRPr="00E44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4455">
        <w:rPr>
          <w:rFonts w:ascii="Times New Roman" w:eastAsia="Calibri" w:hAnsi="Times New Roman" w:cs="Times New Roman"/>
          <w:sz w:val="24"/>
          <w:szCs w:val="24"/>
        </w:rPr>
        <w:t xml:space="preserve">муниципальных учреждений (с учетом остатков предыдущего отчетного периода) в разрезе источников </w:t>
      </w:r>
      <w:r w:rsidR="00390B50">
        <w:rPr>
          <w:rFonts w:ascii="Times New Roman" w:eastAsia="Calibri" w:hAnsi="Times New Roman" w:cs="Times New Roman"/>
          <w:sz w:val="24"/>
          <w:szCs w:val="24"/>
        </w:rPr>
        <w:t xml:space="preserve">формирования, а именно </w:t>
      </w:r>
      <w:r w:rsidR="00334FAE">
        <w:rPr>
          <w:rFonts w:ascii="Times New Roman" w:eastAsia="Calibri" w:hAnsi="Times New Roman" w:cs="Times New Roman"/>
          <w:sz w:val="24"/>
          <w:szCs w:val="24"/>
        </w:rPr>
        <w:t>за счет</w:t>
      </w:r>
      <w:r w:rsidR="00390B50">
        <w:rPr>
          <w:rFonts w:ascii="Times New Roman" w:eastAsia="Calibri" w:hAnsi="Times New Roman" w:cs="Times New Roman"/>
          <w:sz w:val="24"/>
          <w:szCs w:val="24"/>
        </w:rPr>
        <w:t xml:space="preserve"> субсидии на выполнение муниципального задания, бюджетных инвестиций, субсидии на иные цели, иных поступлени</w:t>
      </w:r>
      <w:r w:rsidR="00334FAE">
        <w:rPr>
          <w:rFonts w:ascii="Times New Roman" w:eastAsia="Calibri" w:hAnsi="Times New Roman" w:cs="Times New Roman"/>
          <w:sz w:val="24"/>
          <w:szCs w:val="24"/>
        </w:rPr>
        <w:t>й и поступлений</w:t>
      </w:r>
      <w:r w:rsidR="002D1314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390B50">
        <w:rPr>
          <w:rFonts w:ascii="Times New Roman" w:eastAsia="Calibri" w:hAnsi="Times New Roman" w:cs="Times New Roman"/>
          <w:sz w:val="24"/>
          <w:szCs w:val="24"/>
        </w:rPr>
        <w:t xml:space="preserve"> приносящей доход деятельности</w:t>
      </w:r>
      <w:r w:rsidR="00E4445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Наибольшая доля итогового финансового результата приходится на образовательные учреждения 97,05%, учреждения культуры и спорта – 2,95%.</w:t>
      </w:r>
    </w:p>
    <w:p w:rsidR="00845DE8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Основную часть финансового результата по всем учреждениям в среднем составили субсидии на выполнение муниципального задания – 66,13%. </w:t>
      </w:r>
    </w:p>
    <w:p w:rsidR="00845DE8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Средства, выделяемые на выполнение муниципального зад</w:t>
      </w:r>
      <w:bookmarkStart w:id="0" w:name="_GoBack"/>
      <w:bookmarkEnd w:id="0"/>
      <w:r w:rsidRPr="001C5E50">
        <w:rPr>
          <w:rFonts w:ascii="Times New Roman" w:eastAsia="Calibri" w:hAnsi="Times New Roman" w:cs="Times New Roman"/>
          <w:sz w:val="24"/>
          <w:szCs w:val="24"/>
        </w:rPr>
        <w:t>ания по всем учреждениям, составили –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803 121,36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eastAsia="Calibri" w:hAnsi="Times New Roman" w:cs="Times New Roman"/>
          <w:sz w:val="24"/>
          <w:szCs w:val="24"/>
        </w:rPr>
        <w:t>тыс. руб., из них учреждения израсходовали 802 565,10</w:t>
      </w:r>
      <w:r w:rsidR="004B67F9" w:rsidRPr="001C5E50">
        <w:rPr>
          <w:rFonts w:ascii="Times New Roman" w:eastAsia="Calibri" w:hAnsi="Times New Roman" w:cs="Times New Roman"/>
          <w:sz w:val="24"/>
          <w:szCs w:val="24"/>
        </w:rPr>
        <w:t xml:space="preserve"> тыс. руб., что составило 99,93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845DE8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E50">
        <w:rPr>
          <w:rFonts w:ascii="Times New Roman" w:hAnsi="Times New Roman" w:cs="Times New Roman"/>
          <w:sz w:val="24"/>
          <w:szCs w:val="24"/>
        </w:rPr>
        <w:t>Износ недвижимого имущества в среднем составляет 4</w:t>
      </w:r>
      <w:r w:rsidR="004B67F9" w:rsidRPr="001C5E50">
        <w:rPr>
          <w:rFonts w:ascii="Times New Roman" w:hAnsi="Times New Roman" w:cs="Times New Roman"/>
          <w:sz w:val="24"/>
          <w:szCs w:val="24"/>
        </w:rPr>
        <w:t>4,16</w:t>
      </w:r>
      <w:r w:rsidRPr="001C5E50">
        <w:rPr>
          <w:rFonts w:ascii="Times New Roman" w:hAnsi="Times New Roman" w:cs="Times New Roman"/>
          <w:sz w:val="24"/>
          <w:szCs w:val="24"/>
        </w:rPr>
        <w:t>%, износ движимого имущества (особо ценного) – 7</w:t>
      </w:r>
      <w:r w:rsidR="004B67F9" w:rsidRPr="001C5E50">
        <w:rPr>
          <w:rFonts w:ascii="Times New Roman" w:hAnsi="Times New Roman" w:cs="Times New Roman"/>
          <w:sz w:val="24"/>
          <w:szCs w:val="24"/>
        </w:rPr>
        <w:t>5</w:t>
      </w:r>
      <w:r w:rsidRPr="001C5E50">
        <w:rPr>
          <w:rFonts w:ascii="Times New Roman" w:hAnsi="Times New Roman" w:cs="Times New Roman"/>
          <w:sz w:val="24"/>
          <w:szCs w:val="24"/>
        </w:rPr>
        <w:t>,</w:t>
      </w:r>
      <w:r w:rsidR="004B67F9" w:rsidRPr="001C5E50">
        <w:rPr>
          <w:rFonts w:ascii="Times New Roman" w:hAnsi="Times New Roman" w:cs="Times New Roman"/>
          <w:sz w:val="24"/>
          <w:szCs w:val="24"/>
        </w:rPr>
        <w:t>13</w:t>
      </w:r>
      <w:r w:rsidRPr="001C5E50">
        <w:rPr>
          <w:rFonts w:ascii="Times New Roman" w:hAnsi="Times New Roman" w:cs="Times New Roman"/>
          <w:sz w:val="24"/>
          <w:szCs w:val="24"/>
        </w:rPr>
        <w:t>%, наиболее высокий уровень износа недвижимого имущества наблюдаетс</w:t>
      </w:r>
      <w:r w:rsidR="004B67F9" w:rsidRPr="001C5E50">
        <w:rPr>
          <w:rFonts w:ascii="Times New Roman" w:hAnsi="Times New Roman" w:cs="Times New Roman"/>
          <w:sz w:val="24"/>
          <w:szCs w:val="24"/>
        </w:rPr>
        <w:t>я в сфере культуры и спорта – 76,2</w:t>
      </w:r>
      <w:r w:rsidRPr="001C5E50">
        <w:rPr>
          <w:rFonts w:ascii="Times New Roman" w:hAnsi="Times New Roman" w:cs="Times New Roman"/>
          <w:sz w:val="24"/>
          <w:szCs w:val="24"/>
        </w:rPr>
        <w:t>%</w:t>
      </w:r>
      <w:r w:rsidRPr="001C5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5DE8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Доля расходов на заработную плату в общем объеме расходов в среднем </w:t>
      </w:r>
      <w:r w:rsidR="004B67F9" w:rsidRPr="001C5E50">
        <w:rPr>
          <w:rFonts w:ascii="Times New Roman" w:hAnsi="Times New Roman" w:cs="Times New Roman"/>
          <w:sz w:val="24"/>
          <w:szCs w:val="24"/>
        </w:rPr>
        <w:t>по всем учреждениям составила 52</w:t>
      </w:r>
      <w:r w:rsidRPr="001C5E50">
        <w:rPr>
          <w:rFonts w:ascii="Times New Roman" w:hAnsi="Times New Roman" w:cs="Times New Roman"/>
          <w:sz w:val="24"/>
          <w:szCs w:val="24"/>
        </w:rPr>
        <w:t xml:space="preserve">%. Расходы на заработную плату в целом составили </w:t>
      </w:r>
      <w:r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4B67F9"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99 585,77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hAnsi="Times New Roman" w:cs="Times New Roman"/>
          <w:sz w:val="24"/>
          <w:szCs w:val="24"/>
        </w:rPr>
        <w:t xml:space="preserve">тыс. руб. Наибольший по значению источник покрытия расходов на заработную плату - средства субсидии на выполнение муниципального задания </w:t>
      </w:r>
      <w:r w:rsidR="004B67F9" w:rsidRPr="001C5E50">
        <w:rPr>
          <w:rFonts w:ascii="Times New Roman" w:hAnsi="Times New Roman" w:cs="Times New Roman"/>
          <w:sz w:val="24"/>
          <w:szCs w:val="24"/>
        </w:rPr>
        <w:t>–</w:t>
      </w:r>
      <w:r w:rsidRPr="001C5E50">
        <w:rPr>
          <w:rFonts w:ascii="Times New Roman" w:hAnsi="Times New Roman" w:cs="Times New Roman"/>
          <w:sz w:val="24"/>
          <w:szCs w:val="24"/>
        </w:rPr>
        <w:t xml:space="preserve"> </w:t>
      </w:r>
      <w:r w:rsidR="004B67F9" w:rsidRPr="001C5E50">
        <w:rPr>
          <w:rFonts w:ascii="Times New Roman" w:hAnsi="Times New Roman" w:cs="Times New Roman"/>
          <w:sz w:val="24"/>
          <w:szCs w:val="24"/>
        </w:rPr>
        <w:t>509 374,86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hAnsi="Times New Roman" w:cs="Times New Roman"/>
          <w:sz w:val="24"/>
          <w:szCs w:val="24"/>
        </w:rPr>
        <w:t>тыс. руб. или 8</w:t>
      </w:r>
      <w:r w:rsidR="004B67F9" w:rsidRPr="001C5E50">
        <w:rPr>
          <w:rFonts w:ascii="Times New Roman" w:hAnsi="Times New Roman" w:cs="Times New Roman"/>
          <w:sz w:val="24"/>
          <w:szCs w:val="24"/>
        </w:rPr>
        <w:t>4,95</w:t>
      </w:r>
      <w:r w:rsidRPr="001C5E50">
        <w:rPr>
          <w:rFonts w:ascii="Times New Roman" w:hAnsi="Times New Roman" w:cs="Times New Roman"/>
          <w:sz w:val="24"/>
          <w:szCs w:val="24"/>
        </w:rPr>
        <w:t>%.</w:t>
      </w:r>
    </w:p>
    <w:p w:rsidR="00845DE8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Средняя заработная плата работников составила </w:t>
      </w:r>
      <w:r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B67F9"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1 371,40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C5E50">
        <w:rPr>
          <w:rFonts w:ascii="Times New Roman" w:hAnsi="Times New Roman" w:cs="Times New Roman"/>
          <w:sz w:val="24"/>
          <w:szCs w:val="24"/>
        </w:rPr>
        <w:t>руб., средняя заработная плата руководителя –</w:t>
      </w:r>
      <w:r w:rsidRPr="001C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B67F9" w:rsidRPr="001C5E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39 642,18</w:t>
      </w:r>
      <w:r w:rsidRPr="001C5E50">
        <w:rPr>
          <w:rFonts w:ascii="Times New Roman" w:hAnsi="Times New Roman" w:cs="Times New Roman"/>
          <w:sz w:val="24"/>
          <w:szCs w:val="24"/>
        </w:rPr>
        <w:t xml:space="preserve"> руб., отношение среднемесячной заработной платы руководителя к среднемесячной</w:t>
      </w:r>
      <w:r w:rsidR="004B67F9" w:rsidRPr="001C5E50">
        <w:rPr>
          <w:rFonts w:ascii="Times New Roman" w:hAnsi="Times New Roman" w:cs="Times New Roman"/>
          <w:sz w:val="24"/>
          <w:szCs w:val="24"/>
        </w:rPr>
        <w:t xml:space="preserve"> заработной плате работника 1,85</w:t>
      </w:r>
      <w:r w:rsidRPr="001C5E50">
        <w:rPr>
          <w:rFonts w:ascii="Times New Roman" w:hAnsi="Times New Roman" w:cs="Times New Roman"/>
          <w:sz w:val="24"/>
          <w:szCs w:val="24"/>
        </w:rPr>
        <w:t>.</w:t>
      </w:r>
    </w:p>
    <w:p w:rsidR="00845DE8" w:rsidRPr="001C5E50" w:rsidRDefault="00845DE8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84A" w:rsidRDefault="0061284A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E50">
        <w:rPr>
          <w:rFonts w:ascii="Times New Roman" w:hAnsi="Times New Roman" w:cs="Times New Roman"/>
          <w:b/>
          <w:sz w:val="24"/>
          <w:szCs w:val="24"/>
        </w:rPr>
        <w:t>Образовательные учреждения</w:t>
      </w:r>
    </w:p>
    <w:p w:rsidR="001C5E50" w:rsidRPr="001C5E50" w:rsidRDefault="001C5E50" w:rsidP="001C5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В 2015 году в Томском районе функционировало 34 о</w:t>
      </w:r>
      <w:r w:rsidRPr="001C5E50">
        <w:rPr>
          <w:rFonts w:ascii="Times New Roman" w:eastAsia="Calibri" w:hAnsi="Times New Roman" w:cs="Times New Roman"/>
          <w:sz w:val="24"/>
          <w:szCs w:val="24"/>
        </w:rPr>
        <w:t>бщеобразовательных учреждений</w:t>
      </w:r>
      <w:r w:rsidRPr="001C5E50">
        <w:rPr>
          <w:rFonts w:ascii="Times New Roman" w:hAnsi="Times New Roman" w:cs="Times New Roman"/>
          <w:sz w:val="24"/>
          <w:szCs w:val="24"/>
        </w:rPr>
        <w:t>, и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Pr="001C5E50">
        <w:rPr>
          <w:rFonts w:ascii="Times New Roman" w:hAnsi="Times New Roman" w:cs="Times New Roman"/>
          <w:sz w:val="24"/>
          <w:szCs w:val="24"/>
        </w:rPr>
        <w:t>них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34 – дневных</w:t>
      </w:r>
      <w:r w:rsidRPr="001C5E50">
        <w:rPr>
          <w:rFonts w:ascii="Times New Roman" w:hAnsi="Times New Roman" w:cs="Times New Roman"/>
          <w:sz w:val="24"/>
          <w:szCs w:val="24"/>
        </w:rPr>
        <w:t>; 23 д</w:t>
      </w:r>
      <w:r w:rsidRPr="001C5E50">
        <w:rPr>
          <w:rFonts w:ascii="Times New Roman" w:eastAsia="Calibri" w:hAnsi="Times New Roman" w:cs="Times New Roman"/>
          <w:sz w:val="24"/>
          <w:szCs w:val="24"/>
        </w:rPr>
        <w:t>ошкольных образовательных учреждений</w:t>
      </w:r>
      <w:r w:rsidRPr="001C5E50">
        <w:rPr>
          <w:rFonts w:ascii="Times New Roman" w:hAnsi="Times New Roman" w:cs="Times New Roman"/>
          <w:sz w:val="24"/>
          <w:szCs w:val="24"/>
        </w:rPr>
        <w:t xml:space="preserve">; 9 учреждений дополнительного образования детей. Из 66 образовательных учреждений 13 имеют статус автономных: МАДОУ «Детский сад  «Полянка» 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C5E5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>ирный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» Томского района, МАДОУ «Детский сад ОВ с. Рыбалово» Томского района, МАДОУ «Детский сад с. 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Корнилово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» Томского района, МАДОУ «Детский сад 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с.Малиновка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» Томского района, МАДОУ «ЦРР - детский сад 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д.Кисловка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» Томского района, МАДОУ «ЦРР – детский сад 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с.Моряковский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 затон» Томского района, МАОУ «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Итатская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 СОШ» Томского района, МАОУ «Спасская СОШ» Томского района, МАОУ «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Калтайская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 СОШ» Томского района, МАОУ «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Кафтанчиковская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 СОШ» Томского района, МАОУ «</w:t>
      </w:r>
      <w:proofErr w:type="spellStart"/>
      <w:r w:rsidRPr="001C5E50">
        <w:rPr>
          <w:rFonts w:ascii="Times New Roman" w:hAnsi="Times New Roman" w:cs="Times New Roman"/>
          <w:sz w:val="24"/>
          <w:szCs w:val="24"/>
        </w:rPr>
        <w:t>Копыловская</w:t>
      </w:r>
      <w:proofErr w:type="spellEnd"/>
      <w:r w:rsidRPr="001C5E50">
        <w:rPr>
          <w:rFonts w:ascii="Times New Roman" w:hAnsi="Times New Roman" w:cs="Times New Roman"/>
          <w:sz w:val="24"/>
          <w:szCs w:val="24"/>
        </w:rPr>
        <w:t xml:space="preserve"> СОШ» Томского района, МАОУ «Малиновская СОШ» Томского района, МАОУ «Моряковская СОШ» Томского района.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В 2015 году МБОУ «Богашевская </w:t>
      </w:r>
      <w:proofErr w:type="gramStart"/>
      <w:r w:rsidRPr="001C5E5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 xml:space="preserve">С)ОШ» Томского района прекратило свою деятельность, </w:t>
      </w:r>
      <w:r w:rsidR="00415304" w:rsidRPr="001C5E50">
        <w:rPr>
          <w:rFonts w:ascii="Times New Roman" w:hAnsi="Times New Roman" w:cs="Times New Roman"/>
          <w:sz w:val="24"/>
          <w:szCs w:val="24"/>
        </w:rPr>
        <w:t>в результате</w:t>
      </w:r>
      <w:r w:rsidRPr="001C5E50">
        <w:rPr>
          <w:rFonts w:ascii="Times New Roman" w:hAnsi="Times New Roman" w:cs="Times New Roman"/>
          <w:sz w:val="24"/>
          <w:szCs w:val="24"/>
        </w:rPr>
        <w:t xml:space="preserve"> реорганизации.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С 01.09.2015 года открыт МБДОУ «Детский сад «Радужный» п. Зональная Станция» Томского района на 145 мест;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 w:rsidRPr="001C5E50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 xml:space="preserve"> 2015 года, система образования в Томском районе представлена 66 образовательными организациями и включает: </w:t>
      </w:r>
    </w:p>
    <w:tbl>
      <w:tblPr>
        <w:tblStyle w:val="a3"/>
        <w:tblW w:w="9786" w:type="dxa"/>
        <w:tblInd w:w="0" w:type="dxa"/>
        <w:tblLook w:val="04A0" w:firstRow="1" w:lastRow="0" w:firstColumn="1" w:lastColumn="0" w:noHBand="0" w:noVBand="1"/>
      </w:tblPr>
      <w:tblGrid>
        <w:gridCol w:w="4825"/>
        <w:gridCol w:w="1843"/>
        <w:gridCol w:w="1842"/>
        <w:gridCol w:w="1276"/>
      </w:tblGrid>
      <w:tr w:rsidR="00845DE8" w:rsidRPr="001C5E50" w:rsidTr="002F53E6">
        <w:tc>
          <w:tcPr>
            <w:tcW w:w="4825" w:type="dxa"/>
          </w:tcPr>
          <w:p w:rsidR="00845DE8" w:rsidRPr="001C5E50" w:rsidRDefault="00845DE8" w:rsidP="001C5E50">
            <w:pPr>
              <w:ind w:firstLine="567"/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Тип  учреждения</w:t>
            </w:r>
          </w:p>
        </w:tc>
        <w:tc>
          <w:tcPr>
            <w:tcW w:w="1843" w:type="dxa"/>
          </w:tcPr>
          <w:p w:rsidR="00845DE8" w:rsidRPr="001C5E50" w:rsidRDefault="00845DE8" w:rsidP="00E44455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Бюджетные учреждения</w:t>
            </w:r>
          </w:p>
        </w:tc>
        <w:tc>
          <w:tcPr>
            <w:tcW w:w="1842" w:type="dxa"/>
          </w:tcPr>
          <w:p w:rsidR="00845DE8" w:rsidRPr="001C5E50" w:rsidRDefault="00845DE8" w:rsidP="00E44455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Автономные учреждения</w:t>
            </w:r>
          </w:p>
        </w:tc>
        <w:tc>
          <w:tcPr>
            <w:tcW w:w="1276" w:type="dxa"/>
          </w:tcPr>
          <w:p w:rsidR="00845DE8" w:rsidRPr="001C5E50" w:rsidRDefault="00845DE8" w:rsidP="00E44455">
            <w:pPr>
              <w:jc w:val="center"/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ИТОГО</w:t>
            </w:r>
          </w:p>
        </w:tc>
      </w:tr>
      <w:tr w:rsidR="00845DE8" w:rsidRPr="001C5E50" w:rsidTr="002F53E6">
        <w:tc>
          <w:tcPr>
            <w:tcW w:w="4825" w:type="dxa"/>
          </w:tcPr>
          <w:p w:rsidR="00845DE8" w:rsidRPr="001C5E50" w:rsidRDefault="00845DE8" w:rsidP="00E44455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843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23</w:t>
            </w:r>
          </w:p>
        </w:tc>
      </w:tr>
      <w:tr w:rsidR="00845DE8" w:rsidRPr="001C5E50" w:rsidTr="002F53E6">
        <w:tc>
          <w:tcPr>
            <w:tcW w:w="4825" w:type="dxa"/>
          </w:tcPr>
          <w:p w:rsidR="00845DE8" w:rsidRPr="001C5E50" w:rsidRDefault="00845DE8" w:rsidP="00E44455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843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34</w:t>
            </w:r>
          </w:p>
        </w:tc>
      </w:tr>
      <w:tr w:rsidR="00845DE8" w:rsidRPr="001C5E50" w:rsidTr="002F53E6">
        <w:tc>
          <w:tcPr>
            <w:tcW w:w="4825" w:type="dxa"/>
          </w:tcPr>
          <w:p w:rsidR="00845DE8" w:rsidRPr="001C5E50" w:rsidRDefault="00845DE8" w:rsidP="00E44455">
            <w:pPr>
              <w:rPr>
                <w:sz w:val="24"/>
                <w:szCs w:val="24"/>
              </w:rPr>
            </w:pPr>
            <w:r w:rsidRPr="001C5E50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843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9</w:t>
            </w:r>
          </w:p>
        </w:tc>
      </w:tr>
      <w:tr w:rsidR="00845DE8" w:rsidRPr="001C5E50" w:rsidTr="002F53E6">
        <w:tc>
          <w:tcPr>
            <w:tcW w:w="4825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842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45DE8" w:rsidRPr="001C5E50" w:rsidRDefault="00845DE8" w:rsidP="001C5E50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C5E50">
              <w:rPr>
                <w:b/>
                <w:sz w:val="24"/>
                <w:szCs w:val="24"/>
              </w:rPr>
              <w:t>66</w:t>
            </w:r>
          </w:p>
        </w:tc>
      </w:tr>
    </w:tbl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34EE" w:rsidRPr="001C5E50" w:rsidRDefault="009D34EE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Финансовый результат МБДОУ «Детский сад ОВ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>ассвет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» Томского района, МБДОУ «Детский сад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п.Аэропорт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» Томского района, МБДОУ «Детский сад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с.Батурино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» Томского района, МБДОУ «Детский сад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с.Зоркальцево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>» Томского района</w:t>
      </w:r>
      <w:r w:rsidR="00364366" w:rsidRPr="001C5E50">
        <w:rPr>
          <w:rFonts w:ascii="Times New Roman" w:eastAsia="Calibri" w:hAnsi="Times New Roman" w:cs="Times New Roman"/>
          <w:sz w:val="24"/>
          <w:szCs w:val="24"/>
        </w:rPr>
        <w:t>, МБОУ «</w:t>
      </w:r>
      <w:proofErr w:type="spellStart"/>
      <w:r w:rsidR="00364366" w:rsidRPr="001C5E50">
        <w:rPr>
          <w:rFonts w:ascii="Times New Roman" w:eastAsia="Calibri" w:hAnsi="Times New Roman" w:cs="Times New Roman"/>
          <w:sz w:val="24"/>
          <w:szCs w:val="24"/>
        </w:rPr>
        <w:t>Новоархангельская</w:t>
      </w:r>
      <w:proofErr w:type="spellEnd"/>
      <w:r w:rsidR="00364366" w:rsidRPr="001C5E50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района, МБОУ «</w:t>
      </w:r>
      <w:proofErr w:type="spellStart"/>
      <w:r w:rsidR="00364366" w:rsidRPr="001C5E50">
        <w:rPr>
          <w:rFonts w:ascii="Times New Roman" w:eastAsia="Calibri" w:hAnsi="Times New Roman" w:cs="Times New Roman"/>
          <w:sz w:val="24"/>
          <w:szCs w:val="24"/>
        </w:rPr>
        <w:t>Петуховская</w:t>
      </w:r>
      <w:proofErr w:type="spellEnd"/>
      <w:r w:rsidR="00364366" w:rsidRPr="001C5E50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района, МБОУ «</w:t>
      </w:r>
      <w:proofErr w:type="spellStart"/>
      <w:r w:rsidR="00364366" w:rsidRPr="001C5E50">
        <w:rPr>
          <w:rFonts w:ascii="Times New Roman" w:eastAsia="Calibri" w:hAnsi="Times New Roman" w:cs="Times New Roman"/>
          <w:sz w:val="24"/>
          <w:szCs w:val="24"/>
        </w:rPr>
        <w:t>Чернореченская</w:t>
      </w:r>
      <w:proofErr w:type="spellEnd"/>
      <w:r w:rsidR="00364366" w:rsidRPr="001C5E50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EB3C32" w:rsidRPr="001C5E50">
        <w:rPr>
          <w:rFonts w:ascii="Times New Roman" w:eastAsia="Calibri" w:hAnsi="Times New Roman" w:cs="Times New Roman"/>
          <w:sz w:val="24"/>
          <w:szCs w:val="24"/>
        </w:rPr>
        <w:t xml:space="preserve"> Томского района,</w:t>
      </w:r>
      <w:r w:rsidR="00364366" w:rsidRPr="001C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3C32" w:rsidRPr="001C5E50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EB3C32" w:rsidRPr="001C5E50">
        <w:rPr>
          <w:rFonts w:ascii="Times New Roman" w:eastAsia="Calibri" w:hAnsi="Times New Roman" w:cs="Times New Roman"/>
          <w:sz w:val="24"/>
          <w:szCs w:val="24"/>
        </w:rPr>
        <w:t>Зоркальцевская</w:t>
      </w:r>
      <w:proofErr w:type="spellEnd"/>
      <w:r w:rsidR="00FB6D94" w:rsidRPr="001C5E50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EB3C32" w:rsidRPr="001C5E50">
        <w:rPr>
          <w:rFonts w:ascii="Times New Roman" w:eastAsia="Calibri" w:hAnsi="Times New Roman" w:cs="Times New Roman"/>
          <w:sz w:val="24"/>
          <w:szCs w:val="24"/>
        </w:rPr>
        <w:t xml:space="preserve">» Томского района </w:t>
      </w:r>
      <w:r w:rsidRPr="001C5E50">
        <w:rPr>
          <w:rFonts w:ascii="Times New Roman" w:eastAsia="Calibri" w:hAnsi="Times New Roman" w:cs="Times New Roman"/>
          <w:sz w:val="24"/>
          <w:szCs w:val="24"/>
        </w:rPr>
        <w:t>в</w:t>
      </w:r>
      <w:r w:rsidR="00EB3C32" w:rsidRPr="001C5E50">
        <w:rPr>
          <w:rFonts w:ascii="Times New Roman" w:eastAsia="Calibri" w:hAnsi="Times New Roman" w:cs="Times New Roman"/>
          <w:sz w:val="24"/>
          <w:szCs w:val="24"/>
        </w:rPr>
        <w:t xml:space="preserve"> 2015 году увеличился на 34-130</w:t>
      </w:r>
      <w:r w:rsidRPr="001C5E50">
        <w:rPr>
          <w:rFonts w:ascii="Times New Roman" w:eastAsia="Calibri" w:hAnsi="Times New Roman" w:cs="Times New Roman"/>
          <w:sz w:val="24"/>
          <w:szCs w:val="24"/>
        </w:rPr>
        <w:t>%</w:t>
      </w:r>
      <w:r w:rsidR="00364366" w:rsidRPr="001C5E50">
        <w:rPr>
          <w:rFonts w:ascii="Times New Roman" w:eastAsia="Calibri" w:hAnsi="Times New Roman" w:cs="Times New Roman"/>
          <w:sz w:val="24"/>
          <w:szCs w:val="24"/>
        </w:rPr>
        <w:t xml:space="preserve"> по сравнению с предыдущим отчетным периодом</w:t>
      </w:r>
      <w:r w:rsidRPr="001C5E50">
        <w:rPr>
          <w:rFonts w:ascii="Times New Roman" w:eastAsia="Calibri" w:hAnsi="Times New Roman" w:cs="Times New Roman"/>
          <w:sz w:val="24"/>
          <w:szCs w:val="24"/>
        </w:rPr>
        <w:t>. Увеличение данного показателя произошло в связи с проведением капитального ремонта зданий.</w:t>
      </w:r>
    </w:p>
    <w:p w:rsidR="009D34EE" w:rsidRPr="001C5E50" w:rsidRDefault="00845DE8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МАОУ «Малиновская СОШ» Томского района в 2015 году увеличился на 87% по сравнению с предыдущим отчетным периодом: 45 912,76 тыс. руб. и 24 526,03 тыс. руб. соответственно. Увеличение данного показателя произошло в связи с бюджетными </w:t>
      </w:r>
      <w:r w:rsidR="00415304" w:rsidRPr="001C5E50">
        <w:rPr>
          <w:rFonts w:ascii="Times New Roman" w:eastAsia="Calibri" w:hAnsi="Times New Roman" w:cs="Times New Roman"/>
          <w:sz w:val="24"/>
          <w:szCs w:val="24"/>
        </w:rPr>
        <w:t>расходами</w:t>
      </w:r>
      <w:r w:rsidRPr="001C5E50">
        <w:rPr>
          <w:rFonts w:ascii="Times New Roman" w:eastAsia="Calibri" w:hAnsi="Times New Roman" w:cs="Times New Roman"/>
          <w:sz w:val="24"/>
          <w:szCs w:val="24"/>
        </w:rPr>
        <w:t>, направленными на модернизацию школьного стадиона и проведение капитального ремонта. Доля субсидий на иные цели в общем объеме бюджетных ассигно</w:t>
      </w:r>
      <w:r w:rsidR="00415304" w:rsidRPr="001C5E50">
        <w:rPr>
          <w:rFonts w:ascii="Times New Roman" w:eastAsia="Calibri" w:hAnsi="Times New Roman" w:cs="Times New Roman"/>
          <w:sz w:val="24"/>
          <w:szCs w:val="24"/>
        </w:rPr>
        <w:t>ваний в 2015 году составила 5</w:t>
      </w:r>
      <w:r w:rsidR="00364366" w:rsidRPr="001C5E50">
        <w:rPr>
          <w:rFonts w:ascii="Times New Roman" w:eastAsia="Calibri" w:hAnsi="Times New Roman" w:cs="Times New Roman"/>
          <w:sz w:val="24"/>
          <w:szCs w:val="24"/>
        </w:rPr>
        <w:t>7%.</w:t>
      </w:r>
    </w:p>
    <w:p w:rsidR="00364366" w:rsidRPr="001C5E50" w:rsidRDefault="00364366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Финансовый результат МБОУ «Александровская СОШ» Томского района в 2015 году увеличился на 34% по сравнению с предыдущим отчетным периодом: 14 832,82 тыс. руб. и 11 085,37 тыс. руб. соответственно. Увеличение данного показателя произошло в связи с увеличением объема оказанных услуг (работ) в натуральном выражении на 40%.</w:t>
      </w:r>
    </w:p>
    <w:p w:rsidR="00364366" w:rsidRPr="001C5E50" w:rsidRDefault="00364366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Финансовый результат МБОУ «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Лучановская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СОШ» в 2015 году увеличился на 37% по сравнению с предыдущим отчетным периодом: 25 934,47 тыс. руб. и 18 992,11 тыс. руб. соответственно. Увеличение данного показателя произошло в связи с проведением капитального ремонта спортивного зала. Доля субсидий на иные цели в общем объеме бюджетных ассигнований в 2015 году составила 28,5%.</w:t>
      </w:r>
    </w:p>
    <w:p w:rsidR="00364366" w:rsidRPr="001C5E50" w:rsidRDefault="00364366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Финансовый результат МБОУ «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Межениновская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в 2015 году увеличился на 114% по сравнению с предыдущим отчетным периодом: 30 063,59 тыс. руб. и 14 041,27 тыс. руб. соответственно. Увеличение данного показателя произошло в связи с созданием новых мест в образовательных учреждениях, реализующих программы дошкольного образования и проведением капитального ремонта здания. Доля субсидий на иные цели в общем объеме бюджетных ассигнований в 2015 году составила 63%.</w:t>
      </w:r>
    </w:p>
    <w:p w:rsidR="00EB3C32" w:rsidRPr="001C5E50" w:rsidRDefault="00EB3C32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Финансовый результат МБДОУ «Детский сад КВ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>олодежный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» Томского района, МБДОУ «Детский сад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с.Кафтанчиково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>» Томского района в 2015 году увеличился на 52</w:t>
      </w:r>
      <w:r w:rsidR="001C5E50" w:rsidRPr="001C5E50">
        <w:rPr>
          <w:rFonts w:ascii="Times New Roman" w:eastAsia="Calibri" w:hAnsi="Times New Roman" w:cs="Times New Roman"/>
          <w:sz w:val="24"/>
          <w:szCs w:val="24"/>
        </w:rPr>
        <w:t>%</w:t>
      </w:r>
      <w:r w:rsidR="00227B6A" w:rsidRPr="001C5E5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C5E50">
        <w:rPr>
          <w:rFonts w:ascii="Times New Roman" w:eastAsia="Calibri" w:hAnsi="Times New Roman" w:cs="Times New Roman"/>
          <w:sz w:val="24"/>
          <w:szCs w:val="24"/>
        </w:rPr>
        <w:t>137% соответственно по сравнению с предыдущим отчетным периодом. Увеличение данного показателя произошло в связи с созданием новых мест в образовательных учреждениях, реализующих программы дошкольного образования.</w:t>
      </w:r>
    </w:p>
    <w:p w:rsidR="001C5E50" w:rsidRPr="001C5E50" w:rsidRDefault="001C5E50" w:rsidP="001C5E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Финансовый результат МБОУ ДОД «ДЮСШ № 2» Томского района в 2015 году увеличился на 40% по сравнению с предыдущим отчетным периодом: 3 778,2 тыс. руб. и 2 706,31 тыс. руб. соответственно. Увеличение данного показателя произошло в связи с увеличение объема субсидий на иные цели на 197%.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Итоговый финансовый результат по 66 образовательным учреждениям в 2015</w:t>
      </w:r>
      <w:r w:rsidR="001C5E50" w:rsidRPr="001C5E50">
        <w:rPr>
          <w:rFonts w:ascii="Times New Roman" w:eastAsia="Calibri" w:hAnsi="Times New Roman" w:cs="Times New Roman"/>
          <w:sz w:val="24"/>
          <w:szCs w:val="24"/>
        </w:rPr>
        <w:t xml:space="preserve"> году составил </w:t>
      </w:r>
      <w:r w:rsidRPr="001C5E50">
        <w:rPr>
          <w:rFonts w:ascii="Times New Roman" w:eastAsia="Calibri" w:hAnsi="Times New Roman" w:cs="Times New Roman"/>
          <w:sz w:val="24"/>
          <w:szCs w:val="24"/>
        </w:rPr>
        <w:t>1</w:t>
      </w:r>
      <w:r w:rsidR="00CB1C53" w:rsidRPr="001C5E50">
        <w:rPr>
          <w:rFonts w:ascii="Times New Roman" w:eastAsia="Calibri" w:hAnsi="Times New Roman" w:cs="Times New Roman"/>
          <w:sz w:val="24"/>
          <w:szCs w:val="24"/>
        </w:rPr>
        <w:t xml:space="preserve"> 177 800,25 тыс. руб., 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в 2014</w:t>
      </w:r>
      <w:r w:rsidR="00F07046" w:rsidRPr="001C5E50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финансовый результат составлял 1 111 516,73 тыс. руб.</w:t>
      </w:r>
      <w:r w:rsidR="00CB1C53" w:rsidRPr="001C5E50">
        <w:rPr>
          <w:rFonts w:ascii="Times New Roman" w:eastAsia="Calibri" w:hAnsi="Times New Roman" w:cs="Times New Roman"/>
          <w:sz w:val="24"/>
          <w:szCs w:val="24"/>
        </w:rPr>
        <w:t>,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в 2015 году по сравнению с 2014 годом произошло увеличение </w:t>
      </w: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046" w:rsidRPr="001C5E50">
        <w:rPr>
          <w:rFonts w:ascii="Times New Roman" w:eastAsia="Calibri" w:hAnsi="Times New Roman" w:cs="Times New Roman"/>
          <w:sz w:val="24"/>
          <w:szCs w:val="24"/>
        </w:rPr>
        <w:t>6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%.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Средства, выделяемые на выполнение муниципального задания по всем учреждениям, составили – 778 072,36 тыс. руб., из них учреждения израсходовали 777 545,88 тыс. руб., что составило 99 %. 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В форме 4 указаны сведения об имуществе, находящемся на праве оперативного управления  образовательных учреждений. У таких учреждений как: МАОУ "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Кафтанчиковская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района, МАОУ "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Копыловская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СОШ" Томского района,  МБДОУ "Детский сад П и ОД " Томского района, МБДОУ "Детский сад ОВ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>ассвет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" Томского района, МБДОУ «Детский сад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с.Зоркальцево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» Томского района, МБДОУ «ЦРР – детский сад 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п.Копылово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>» Томского района, МБОУ «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Кисловская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района, МБОУ «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Рассветовская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района, МБОУ «</w:t>
      </w:r>
      <w:proofErr w:type="spellStart"/>
      <w:r w:rsidRPr="001C5E50">
        <w:rPr>
          <w:rFonts w:ascii="Times New Roman" w:eastAsia="Calibri" w:hAnsi="Times New Roman" w:cs="Times New Roman"/>
          <w:sz w:val="24"/>
          <w:szCs w:val="24"/>
        </w:rPr>
        <w:t>Чернореченская</w:t>
      </w:r>
      <w:proofErr w:type="spell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СОШ» Томского района износ недвижимого имущества составил 100%. 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>Износ движимого (особо ценного движимого) имущества, которое используется образовательными учрежде</w:t>
      </w:r>
      <w:r w:rsidR="00CB1C53" w:rsidRPr="001C5E50">
        <w:rPr>
          <w:rFonts w:ascii="Times New Roman" w:eastAsia="Calibri" w:hAnsi="Times New Roman" w:cs="Times New Roman"/>
          <w:sz w:val="24"/>
          <w:szCs w:val="24"/>
        </w:rPr>
        <w:t xml:space="preserve">ниями, в среднем составляет </w:t>
      </w:r>
      <w:r w:rsidR="00EB3C32" w:rsidRPr="001C5E50">
        <w:rPr>
          <w:rFonts w:ascii="Times New Roman" w:eastAsia="Calibri" w:hAnsi="Times New Roman" w:cs="Times New Roman"/>
          <w:sz w:val="24"/>
          <w:szCs w:val="24"/>
        </w:rPr>
        <w:t>78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%.  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В форме 3 представлены сведения по численности работающих, объемы и структура затрат на оплату труда муниципальных учреждений. Доля расходов на заработную плату в общем объеме расходов в образовательных учреждениях в среднем составляет 52%, в организациях дополнительного образования – 70%. В основном расходы на выплату </w:t>
      </w:r>
      <w:r w:rsidRPr="001C5E50">
        <w:rPr>
          <w:rFonts w:ascii="Times New Roman" w:eastAsia="Calibri" w:hAnsi="Times New Roman" w:cs="Times New Roman"/>
          <w:sz w:val="24"/>
          <w:szCs w:val="24"/>
        </w:rPr>
        <w:lastRenderedPageBreak/>
        <w:t>заработной платы финансируются из средств субсидий на выполнен</w:t>
      </w:r>
      <w:r w:rsidR="00CB1C53" w:rsidRPr="001C5E50">
        <w:rPr>
          <w:rFonts w:ascii="Times New Roman" w:eastAsia="Calibri" w:hAnsi="Times New Roman" w:cs="Times New Roman"/>
          <w:sz w:val="24"/>
          <w:szCs w:val="24"/>
        </w:rPr>
        <w:t>ие муниципального задания в среднем на 85%</w:t>
      </w:r>
      <w:r w:rsidRPr="001C5E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5DE8" w:rsidRPr="001C5E50" w:rsidRDefault="00845DE8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lightGray"/>
        </w:rPr>
      </w:pP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В отчетном периоде </w:t>
      </w:r>
      <w:proofErr w:type="gramStart"/>
      <w:r w:rsidRPr="001C5E50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2015 года среднесписочная численность работников в общеобразовательных учреждениях, с учетом интернатов, групп дошкольно</w:t>
      </w:r>
      <w:r w:rsidR="00524032" w:rsidRPr="001C5E50">
        <w:rPr>
          <w:rFonts w:ascii="Times New Roman" w:eastAsia="Calibri" w:hAnsi="Times New Roman" w:cs="Times New Roman"/>
          <w:sz w:val="24"/>
          <w:szCs w:val="24"/>
        </w:rPr>
        <w:t xml:space="preserve">го образования составляет 2 </w:t>
      </w:r>
      <w:r w:rsidR="00CB1C53" w:rsidRPr="001C5E50">
        <w:rPr>
          <w:rFonts w:ascii="Times New Roman" w:eastAsia="Calibri" w:hAnsi="Times New Roman" w:cs="Times New Roman"/>
          <w:sz w:val="24"/>
          <w:szCs w:val="24"/>
        </w:rPr>
        <w:t>12</w:t>
      </w:r>
      <w:r w:rsidR="00524032" w:rsidRPr="001C5E50">
        <w:rPr>
          <w:rFonts w:ascii="Times New Roman" w:eastAsia="Calibri" w:hAnsi="Times New Roman" w:cs="Times New Roman"/>
          <w:sz w:val="24"/>
          <w:szCs w:val="24"/>
        </w:rPr>
        <w:t>0,1</w:t>
      </w:r>
      <w:r w:rsidRPr="001C5E50">
        <w:rPr>
          <w:rFonts w:ascii="Times New Roman" w:eastAsia="Calibri" w:hAnsi="Times New Roman" w:cs="Times New Roman"/>
          <w:sz w:val="24"/>
          <w:szCs w:val="24"/>
        </w:rPr>
        <w:t xml:space="preserve"> человек, из них внешних совместителей – 80 человек, в том числе педагогических работников – 778,2 человек, из них внешних совместителей – 37,6 человек. В 2015 году произошло увеличение среднесписочной численности на 112,6 человек, в связи с вводом дополнительных мест.</w:t>
      </w:r>
    </w:p>
    <w:p w:rsidR="001C5E50" w:rsidRDefault="001C5E50" w:rsidP="001C5E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9AB" w:rsidRPr="001C5E50" w:rsidRDefault="00DD0635" w:rsidP="001C5E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E50">
        <w:rPr>
          <w:rFonts w:ascii="Times New Roman" w:eastAsia="Calibri" w:hAnsi="Times New Roman" w:cs="Times New Roman"/>
          <w:b/>
          <w:sz w:val="24"/>
          <w:szCs w:val="24"/>
        </w:rPr>
        <w:t>Учреждения культуры</w:t>
      </w:r>
      <w:r w:rsidR="00D15616" w:rsidRPr="001C5E50">
        <w:rPr>
          <w:rFonts w:ascii="Times New Roman" w:eastAsia="Calibri" w:hAnsi="Times New Roman" w:cs="Times New Roman"/>
          <w:b/>
          <w:sz w:val="24"/>
          <w:szCs w:val="24"/>
        </w:rPr>
        <w:t xml:space="preserve"> и спорта</w:t>
      </w:r>
    </w:p>
    <w:p w:rsidR="00DD0635" w:rsidRPr="001C5E50" w:rsidRDefault="00DD0635" w:rsidP="001C5E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1D6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В Томском районе в 2015 году функционировало 4 детские школы искусств, одна центральная библиотека, один центр физической культуры и спорта. В 2015 году изменений структуры и типа подведомственных учреждений не происходило.</w:t>
      </w:r>
    </w:p>
    <w:p w:rsidR="003221D6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Муниципальные задания подведомственных учреждений выполнены в полном объеме. Количество </w:t>
      </w:r>
      <w:proofErr w:type="gramStart"/>
      <w:r w:rsidRPr="001C5E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по сравнению с 2014 годом не изменилось.</w:t>
      </w:r>
    </w:p>
    <w:p w:rsidR="003221D6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1C5E50">
        <w:rPr>
          <w:rFonts w:ascii="Times New Roman" w:hAnsi="Times New Roman" w:cs="Times New Roman"/>
          <w:sz w:val="24"/>
          <w:szCs w:val="24"/>
        </w:rPr>
        <w:t>средств, выделяемых на финансовое обеспечение выполнения муниципального задания в 2015 году по сравнению с 2014 годом увеличился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 xml:space="preserve"> на 8,8%.</w:t>
      </w:r>
    </w:p>
    <w:p w:rsidR="003221D6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5E50">
        <w:rPr>
          <w:rFonts w:ascii="Times New Roman" w:hAnsi="Times New Roman" w:cs="Times New Roman"/>
          <w:sz w:val="24"/>
          <w:szCs w:val="24"/>
        </w:rPr>
        <w:t>Средства, выделяемые на выполнение муниципального задания по всем учреждениям практически полностью израсходованы</w:t>
      </w:r>
      <w:proofErr w:type="gramEnd"/>
      <w:r w:rsidRPr="001C5E50">
        <w:rPr>
          <w:rFonts w:ascii="Times New Roman" w:hAnsi="Times New Roman" w:cs="Times New Roman"/>
          <w:sz w:val="24"/>
          <w:szCs w:val="24"/>
        </w:rPr>
        <w:t xml:space="preserve"> (на 99,9%). Остаток средств составил 29,78 руб. </w:t>
      </w:r>
    </w:p>
    <w:p w:rsidR="003221D6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 xml:space="preserve">Износ недвижимого имущества учреждений составил в </w:t>
      </w:r>
      <w:r w:rsidR="00F07046" w:rsidRPr="001C5E50">
        <w:rPr>
          <w:rFonts w:ascii="Times New Roman" w:hAnsi="Times New Roman" w:cs="Times New Roman"/>
          <w:sz w:val="24"/>
          <w:szCs w:val="24"/>
        </w:rPr>
        <w:t>среднем</w:t>
      </w:r>
      <w:r w:rsidRPr="001C5E50">
        <w:rPr>
          <w:rFonts w:ascii="Times New Roman" w:hAnsi="Times New Roman" w:cs="Times New Roman"/>
          <w:sz w:val="24"/>
          <w:szCs w:val="24"/>
        </w:rPr>
        <w:t xml:space="preserve"> </w:t>
      </w:r>
      <w:r w:rsidR="00F07046" w:rsidRPr="001C5E50">
        <w:rPr>
          <w:rFonts w:ascii="Times New Roman" w:hAnsi="Times New Roman" w:cs="Times New Roman"/>
          <w:sz w:val="24"/>
          <w:szCs w:val="24"/>
        </w:rPr>
        <w:t>85,8</w:t>
      </w:r>
      <w:r w:rsidRPr="001C5E50">
        <w:rPr>
          <w:rFonts w:ascii="Times New Roman" w:hAnsi="Times New Roman" w:cs="Times New Roman"/>
          <w:sz w:val="24"/>
          <w:szCs w:val="24"/>
        </w:rPr>
        <w:t>%, износ движимого – 89,</w:t>
      </w:r>
      <w:r w:rsidR="00F07046" w:rsidRPr="001C5E50">
        <w:rPr>
          <w:rFonts w:ascii="Times New Roman" w:hAnsi="Times New Roman" w:cs="Times New Roman"/>
          <w:sz w:val="24"/>
          <w:szCs w:val="24"/>
        </w:rPr>
        <w:t>9</w:t>
      </w:r>
      <w:r w:rsidRPr="001C5E50">
        <w:rPr>
          <w:rFonts w:ascii="Times New Roman" w:hAnsi="Times New Roman" w:cs="Times New Roman"/>
          <w:sz w:val="24"/>
          <w:szCs w:val="24"/>
        </w:rPr>
        <w:t>%.</w:t>
      </w:r>
    </w:p>
    <w:p w:rsidR="003221D6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E50">
        <w:rPr>
          <w:rFonts w:ascii="Times New Roman" w:hAnsi="Times New Roman" w:cs="Times New Roman"/>
          <w:sz w:val="24"/>
          <w:szCs w:val="24"/>
        </w:rPr>
        <w:t>Доля расходов на заработную плату в общем объёме расходов учреж</w:t>
      </w:r>
      <w:r w:rsidR="00F07046" w:rsidRPr="001C5E50">
        <w:rPr>
          <w:rFonts w:ascii="Times New Roman" w:hAnsi="Times New Roman" w:cs="Times New Roman"/>
          <w:sz w:val="24"/>
          <w:szCs w:val="24"/>
        </w:rPr>
        <w:t>дений составила 63</w:t>
      </w:r>
      <w:r w:rsidRPr="001C5E50">
        <w:rPr>
          <w:rFonts w:ascii="Times New Roman" w:hAnsi="Times New Roman" w:cs="Times New Roman"/>
          <w:sz w:val="24"/>
          <w:szCs w:val="24"/>
        </w:rPr>
        <w:t>%. Основной источник покрытия расходов на заработную плату – средства субсидии на выполнение муниципального задания – 16 823,68 тыс. руб. (или 76,2%).</w:t>
      </w:r>
    </w:p>
    <w:p w:rsidR="007E0990" w:rsidRPr="001C5E50" w:rsidRDefault="003221D6" w:rsidP="001C5E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5E50">
        <w:rPr>
          <w:rFonts w:ascii="Times New Roman" w:hAnsi="Times New Roman" w:cs="Times New Roman"/>
          <w:sz w:val="24"/>
          <w:szCs w:val="24"/>
        </w:rPr>
        <w:t>Средняя заработная плата работников сост</w:t>
      </w:r>
      <w:r w:rsidR="00CB1C53" w:rsidRPr="001C5E50">
        <w:rPr>
          <w:rFonts w:ascii="Times New Roman" w:hAnsi="Times New Roman" w:cs="Times New Roman"/>
          <w:sz w:val="24"/>
          <w:szCs w:val="24"/>
        </w:rPr>
        <w:t>авила 16 </w:t>
      </w:r>
      <w:r w:rsidR="003E52C1" w:rsidRPr="001C5E50">
        <w:rPr>
          <w:rFonts w:ascii="Times New Roman" w:hAnsi="Times New Roman" w:cs="Times New Roman"/>
          <w:sz w:val="24"/>
          <w:szCs w:val="24"/>
        </w:rPr>
        <w:t>706</w:t>
      </w:r>
      <w:r w:rsidRPr="001C5E50">
        <w:rPr>
          <w:rFonts w:ascii="Times New Roman" w:hAnsi="Times New Roman" w:cs="Times New Roman"/>
          <w:sz w:val="24"/>
          <w:szCs w:val="24"/>
        </w:rPr>
        <w:t xml:space="preserve"> рублей, средняя заработная</w:t>
      </w:r>
      <w:r w:rsidR="003E52C1" w:rsidRPr="001C5E50">
        <w:rPr>
          <w:rFonts w:ascii="Times New Roman" w:hAnsi="Times New Roman" w:cs="Times New Roman"/>
          <w:sz w:val="24"/>
          <w:szCs w:val="24"/>
        </w:rPr>
        <w:t xml:space="preserve"> плата руководителей – 41 663</w:t>
      </w:r>
      <w:r w:rsidRPr="001C5E50">
        <w:rPr>
          <w:rFonts w:ascii="Times New Roman" w:hAnsi="Times New Roman" w:cs="Times New Roman"/>
          <w:sz w:val="24"/>
          <w:szCs w:val="24"/>
        </w:rPr>
        <w:t xml:space="preserve"> рублей. Рост средней заработной платы работников и руководителя по сравнению с 2014 годом составил 10,8% и 8,2 % соответственно.</w:t>
      </w:r>
    </w:p>
    <w:sectPr w:rsidR="007E0990" w:rsidRPr="001C5E50" w:rsidSect="00D04946">
      <w:pgSz w:w="11906" w:h="16838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53D"/>
    <w:multiLevelType w:val="hybridMultilevel"/>
    <w:tmpl w:val="2A5EA3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D326C1C"/>
    <w:multiLevelType w:val="hybridMultilevel"/>
    <w:tmpl w:val="7E24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03A86"/>
    <w:multiLevelType w:val="hybridMultilevel"/>
    <w:tmpl w:val="8786A67E"/>
    <w:lvl w:ilvl="0" w:tplc="C316B3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2CC18E1"/>
    <w:multiLevelType w:val="hybridMultilevel"/>
    <w:tmpl w:val="3E2A3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7327382"/>
    <w:multiLevelType w:val="hybridMultilevel"/>
    <w:tmpl w:val="2BA6E6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11C3895"/>
    <w:multiLevelType w:val="hybridMultilevel"/>
    <w:tmpl w:val="EEBA0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97F4B"/>
    <w:multiLevelType w:val="hybridMultilevel"/>
    <w:tmpl w:val="797AC1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F0"/>
    <w:rsid w:val="000126C3"/>
    <w:rsid w:val="00041340"/>
    <w:rsid w:val="00052669"/>
    <w:rsid w:val="00090612"/>
    <w:rsid w:val="00095A7D"/>
    <w:rsid w:val="000A0596"/>
    <w:rsid w:val="000A2FC0"/>
    <w:rsid w:val="000B0B68"/>
    <w:rsid w:val="000B1D8C"/>
    <w:rsid w:val="000B25F3"/>
    <w:rsid w:val="000E105F"/>
    <w:rsid w:val="000E1586"/>
    <w:rsid w:val="000E270C"/>
    <w:rsid w:val="000E2F45"/>
    <w:rsid w:val="00104C61"/>
    <w:rsid w:val="001533B8"/>
    <w:rsid w:val="001652D3"/>
    <w:rsid w:val="00172BE2"/>
    <w:rsid w:val="00174719"/>
    <w:rsid w:val="00186E8B"/>
    <w:rsid w:val="001879AB"/>
    <w:rsid w:val="00193AED"/>
    <w:rsid w:val="001A65A8"/>
    <w:rsid w:val="001C499F"/>
    <w:rsid w:val="001C5E50"/>
    <w:rsid w:val="001D2056"/>
    <w:rsid w:val="001D27F8"/>
    <w:rsid w:val="001E2C3A"/>
    <w:rsid w:val="001E3AEE"/>
    <w:rsid w:val="001E78D6"/>
    <w:rsid w:val="001F1869"/>
    <w:rsid w:val="001F25F7"/>
    <w:rsid w:val="00227575"/>
    <w:rsid w:val="00227656"/>
    <w:rsid w:val="00227B6A"/>
    <w:rsid w:val="00237BF7"/>
    <w:rsid w:val="00241EB1"/>
    <w:rsid w:val="0024715B"/>
    <w:rsid w:val="00284153"/>
    <w:rsid w:val="00292F62"/>
    <w:rsid w:val="00297C2D"/>
    <w:rsid w:val="002B34FE"/>
    <w:rsid w:val="002B3A78"/>
    <w:rsid w:val="002B70C5"/>
    <w:rsid w:val="002B75CD"/>
    <w:rsid w:val="002D018B"/>
    <w:rsid w:val="002D1314"/>
    <w:rsid w:val="002F5EEF"/>
    <w:rsid w:val="003019BD"/>
    <w:rsid w:val="00304D46"/>
    <w:rsid w:val="00320BC6"/>
    <w:rsid w:val="003221D6"/>
    <w:rsid w:val="00323922"/>
    <w:rsid w:val="003276C8"/>
    <w:rsid w:val="00330DFA"/>
    <w:rsid w:val="00334FAE"/>
    <w:rsid w:val="00341763"/>
    <w:rsid w:val="0035350E"/>
    <w:rsid w:val="00364366"/>
    <w:rsid w:val="00366DC0"/>
    <w:rsid w:val="00370C5D"/>
    <w:rsid w:val="003741E1"/>
    <w:rsid w:val="0037509D"/>
    <w:rsid w:val="00390B50"/>
    <w:rsid w:val="00392F84"/>
    <w:rsid w:val="00395D48"/>
    <w:rsid w:val="00396715"/>
    <w:rsid w:val="003A1450"/>
    <w:rsid w:val="003A66D9"/>
    <w:rsid w:val="003B6877"/>
    <w:rsid w:val="003C7EDD"/>
    <w:rsid w:val="003D09D5"/>
    <w:rsid w:val="003D0B5D"/>
    <w:rsid w:val="003D79EB"/>
    <w:rsid w:val="003E52C1"/>
    <w:rsid w:val="003E5EDB"/>
    <w:rsid w:val="00401E1F"/>
    <w:rsid w:val="004047D2"/>
    <w:rsid w:val="00415304"/>
    <w:rsid w:val="00420B99"/>
    <w:rsid w:val="0042557D"/>
    <w:rsid w:val="00425A8E"/>
    <w:rsid w:val="00426E78"/>
    <w:rsid w:val="00454A96"/>
    <w:rsid w:val="0049249F"/>
    <w:rsid w:val="00492722"/>
    <w:rsid w:val="004A694B"/>
    <w:rsid w:val="004B67F9"/>
    <w:rsid w:val="004E3244"/>
    <w:rsid w:val="004F2A42"/>
    <w:rsid w:val="00521E27"/>
    <w:rsid w:val="00524032"/>
    <w:rsid w:val="00525FE8"/>
    <w:rsid w:val="00543579"/>
    <w:rsid w:val="00555F8B"/>
    <w:rsid w:val="005674AE"/>
    <w:rsid w:val="00567E45"/>
    <w:rsid w:val="0058101D"/>
    <w:rsid w:val="00581A0D"/>
    <w:rsid w:val="0058431C"/>
    <w:rsid w:val="00584F02"/>
    <w:rsid w:val="005B72A6"/>
    <w:rsid w:val="005C6B08"/>
    <w:rsid w:val="005D30BC"/>
    <w:rsid w:val="005D4339"/>
    <w:rsid w:val="00605CAA"/>
    <w:rsid w:val="0061284A"/>
    <w:rsid w:val="00616945"/>
    <w:rsid w:val="0062118B"/>
    <w:rsid w:val="006326F1"/>
    <w:rsid w:val="00632BEF"/>
    <w:rsid w:val="006336CE"/>
    <w:rsid w:val="00637C36"/>
    <w:rsid w:val="0064028E"/>
    <w:rsid w:val="00670B32"/>
    <w:rsid w:val="00686FF4"/>
    <w:rsid w:val="006B5012"/>
    <w:rsid w:val="006C2F12"/>
    <w:rsid w:val="006C3882"/>
    <w:rsid w:val="006C4D23"/>
    <w:rsid w:val="006E6B9D"/>
    <w:rsid w:val="0071480B"/>
    <w:rsid w:val="00726E0E"/>
    <w:rsid w:val="0072719C"/>
    <w:rsid w:val="007432A3"/>
    <w:rsid w:val="00743B43"/>
    <w:rsid w:val="00790CFB"/>
    <w:rsid w:val="0079657B"/>
    <w:rsid w:val="00797162"/>
    <w:rsid w:val="007B0B65"/>
    <w:rsid w:val="007C7EBD"/>
    <w:rsid w:val="007D0939"/>
    <w:rsid w:val="007D5705"/>
    <w:rsid w:val="007D5E37"/>
    <w:rsid w:val="007E0990"/>
    <w:rsid w:val="007F33D2"/>
    <w:rsid w:val="007F5A19"/>
    <w:rsid w:val="00802092"/>
    <w:rsid w:val="0080397F"/>
    <w:rsid w:val="00806C96"/>
    <w:rsid w:val="0081637C"/>
    <w:rsid w:val="00821083"/>
    <w:rsid w:val="00833DC2"/>
    <w:rsid w:val="00835C55"/>
    <w:rsid w:val="00840732"/>
    <w:rsid w:val="00844C09"/>
    <w:rsid w:val="00845DE8"/>
    <w:rsid w:val="0085097A"/>
    <w:rsid w:val="00854F16"/>
    <w:rsid w:val="0086397D"/>
    <w:rsid w:val="00885BC6"/>
    <w:rsid w:val="00891679"/>
    <w:rsid w:val="008B68F0"/>
    <w:rsid w:val="008D37E5"/>
    <w:rsid w:val="008E23B7"/>
    <w:rsid w:val="008F77A8"/>
    <w:rsid w:val="00906AEC"/>
    <w:rsid w:val="0090789E"/>
    <w:rsid w:val="009104EE"/>
    <w:rsid w:val="0091675B"/>
    <w:rsid w:val="00937B05"/>
    <w:rsid w:val="00937EF0"/>
    <w:rsid w:val="0094468C"/>
    <w:rsid w:val="009730F9"/>
    <w:rsid w:val="00980F22"/>
    <w:rsid w:val="00993862"/>
    <w:rsid w:val="00996347"/>
    <w:rsid w:val="009A03D7"/>
    <w:rsid w:val="009D34EE"/>
    <w:rsid w:val="009E028E"/>
    <w:rsid w:val="009E5286"/>
    <w:rsid w:val="009E6878"/>
    <w:rsid w:val="009E7B45"/>
    <w:rsid w:val="009F41D5"/>
    <w:rsid w:val="009F5750"/>
    <w:rsid w:val="009F6AFA"/>
    <w:rsid w:val="009F70AC"/>
    <w:rsid w:val="00A02BE7"/>
    <w:rsid w:val="00A11231"/>
    <w:rsid w:val="00A1311C"/>
    <w:rsid w:val="00A44AB9"/>
    <w:rsid w:val="00A54DEE"/>
    <w:rsid w:val="00A62CE6"/>
    <w:rsid w:val="00A646D2"/>
    <w:rsid w:val="00A64ADA"/>
    <w:rsid w:val="00A6621E"/>
    <w:rsid w:val="00A66985"/>
    <w:rsid w:val="00A90FF2"/>
    <w:rsid w:val="00B00638"/>
    <w:rsid w:val="00B453B7"/>
    <w:rsid w:val="00B51579"/>
    <w:rsid w:val="00B526AA"/>
    <w:rsid w:val="00B66857"/>
    <w:rsid w:val="00B67960"/>
    <w:rsid w:val="00B70E2E"/>
    <w:rsid w:val="00B743A6"/>
    <w:rsid w:val="00B82AE0"/>
    <w:rsid w:val="00B921A8"/>
    <w:rsid w:val="00B96F1C"/>
    <w:rsid w:val="00BA31AA"/>
    <w:rsid w:val="00BA745E"/>
    <w:rsid w:val="00BD3AF4"/>
    <w:rsid w:val="00BD7D54"/>
    <w:rsid w:val="00BE627C"/>
    <w:rsid w:val="00BE6A71"/>
    <w:rsid w:val="00BF09C6"/>
    <w:rsid w:val="00C16F92"/>
    <w:rsid w:val="00C171C9"/>
    <w:rsid w:val="00C26D71"/>
    <w:rsid w:val="00C27C6F"/>
    <w:rsid w:val="00C411C4"/>
    <w:rsid w:val="00C50D42"/>
    <w:rsid w:val="00C549AE"/>
    <w:rsid w:val="00C714E3"/>
    <w:rsid w:val="00C82946"/>
    <w:rsid w:val="00C8517C"/>
    <w:rsid w:val="00C90D1E"/>
    <w:rsid w:val="00CB1C53"/>
    <w:rsid w:val="00CC3D13"/>
    <w:rsid w:val="00CD1742"/>
    <w:rsid w:val="00CE2DB7"/>
    <w:rsid w:val="00CE32A6"/>
    <w:rsid w:val="00CF08E4"/>
    <w:rsid w:val="00D04946"/>
    <w:rsid w:val="00D146AF"/>
    <w:rsid w:val="00D15616"/>
    <w:rsid w:val="00D1574D"/>
    <w:rsid w:val="00D2588F"/>
    <w:rsid w:val="00D32BC0"/>
    <w:rsid w:val="00D344A0"/>
    <w:rsid w:val="00D3666B"/>
    <w:rsid w:val="00D4531F"/>
    <w:rsid w:val="00D525E8"/>
    <w:rsid w:val="00D5462D"/>
    <w:rsid w:val="00D573D7"/>
    <w:rsid w:val="00D65440"/>
    <w:rsid w:val="00D90C07"/>
    <w:rsid w:val="00DB1D76"/>
    <w:rsid w:val="00DC089B"/>
    <w:rsid w:val="00DD0635"/>
    <w:rsid w:val="00DD22B1"/>
    <w:rsid w:val="00DF2AC8"/>
    <w:rsid w:val="00DF4972"/>
    <w:rsid w:val="00E14F58"/>
    <w:rsid w:val="00E304E7"/>
    <w:rsid w:val="00E44455"/>
    <w:rsid w:val="00E53291"/>
    <w:rsid w:val="00E550DA"/>
    <w:rsid w:val="00E96F90"/>
    <w:rsid w:val="00EB3C32"/>
    <w:rsid w:val="00EB41B4"/>
    <w:rsid w:val="00EB5FCC"/>
    <w:rsid w:val="00EC50DF"/>
    <w:rsid w:val="00EC6524"/>
    <w:rsid w:val="00ED1777"/>
    <w:rsid w:val="00EE4E11"/>
    <w:rsid w:val="00EE53B7"/>
    <w:rsid w:val="00EF04FB"/>
    <w:rsid w:val="00F03E83"/>
    <w:rsid w:val="00F07046"/>
    <w:rsid w:val="00F113C6"/>
    <w:rsid w:val="00F13334"/>
    <w:rsid w:val="00F13C83"/>
    <w:rsid w:val="00F17655"/>
    <w:rsid w:val="00F24104"/>
    <w:rsid w:val="00F609FA"/>
    <w:rsid w:val="00F87288"/>
    <w:rsid w:val="00F91AE9"/>
    <w:rsid w:val="00FB6D94"/>
    <w:rsid w:val="00FC4ED1"/>
    <w:rsid w:val="00FE0FA6"/>
    <w:rsid w:val="00F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79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7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9F70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5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579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Иван Шевелев</cp:lastModifiedBy>
  <cp:revision>18</cp:revision>
  <cp:lastPrinted>2016-06-10T02:22:00Z</cp:lastPrinted>
  <dcterms:created xsi:type="dcterms:W3CDTF">2016-06-01T10:00:00Z</dcterms:created>
  <dcterms:modified xsi:type="dcterms:W3CDTF">2016-06-10T02:23:00Z</dcterms:modified>
</cp:coreProperties>
</file>